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omerio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arese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